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jc w:val="center"/>
        <w:rPr>
          <w:color w:val="000000"/>
          <w:sz w:val="28"/>
          <w:szCs w:val="28"/>
          <w:u w:val="single"/>
        </w:rPr>
      </w:pPr>
      <w:bookmarkStart w:colFirst="0" w:colLast="0" w:name="_7nc4kualy1yd" w:id="0"/>
      <w:bookmarkEnd w:id="0"/>
      <w:r w:rsidDel="00000000" w:rsidR="00000000" w:rsidRPr="00000000">
        <w:rPr>
          <w:color w:val="000000"/>
          <w:sz w:val="28"/>
          <w:szCs w:val="28"/>
          <w:u w:val="single"/>
          <w:rtl w:val="0"/>
        </w:rPr>
        <w:t xml:space="preserve">Norham St Ceolwulf’s CE First School:Review of 2019/20 Pupil Premium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4580.0" w:type="dxa"/>
        <w:jc w:val="left"/>
        <w:tblInd w:w="10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775"/>
        <w:gridCol w:w="630"/>
        <w:gridCol w:w="705"/>
        <w:gridCol w:w="435"/>
        <w:gridCol w:w="5940"/>
        <w:gridCol w:w="4095"/>
        <w:tblGridChange w:id="0">
          <w:tblGrid>
            <w:gridCol w:w="2775"/>
            <w:gridCol w:w="630"/>
            <w:gridCol w:w="705"/>
            <w:gridCol w:w="435"/>
            <w:gridCol w:w="5940"/>
            <w:gridCol w:w="4095"/>
          </w:tblGrid>
        </w:tblGridChange>
      </w:tblGrid>
      <w:tr>
        <w:trPr>
          <w:trHeight w:val="400" w:hRule="atLeast"/>
        </w:trPr>
        <w:tc>
          <w:tcPr>
            <w:gridSpan w:val="6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3">
            <w:pPr>
              <w:spacing w:after="0"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Summary information for 2019/2020</w:t>
            </w:r>
          </w:p>
        </w:tc>
      </w:tr>
      <w:tr>
        <w:trPr>
          <w:trHeight w:val="50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number of pupils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22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pupils eligible for pupil premium funding </w:t>
            </w:r>
          </w:p>
        </w:tc>
        <w:tc>
          <w:tcPr/>
          <w:p w:rsidR="00000000" w:rsidDel="00000000" w:rsidP="00000000" w:rsidRDefault="00000000" w:rsidRPr="00000000" w14:paraId="0000000E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   (14% of total on roll)</w:t>
            </w:r>
          </w:p>
        </w:tc>
      </w:tr>
      <w:tr>
        <w:trPr>
          <w:trHeight w:val="340" w:hRule="atLeast"/>
        </w:trPr>
        <w:tc>
          <w:tcPr>
            <w:gridSpan w:val="6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0F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Number of pupil premium children in each Key Stage: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Key Stage 1: 1   Key Stage 2: 2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PP budget: 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 £3960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6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Total pupil premium budget: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8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£3960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1A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Amount per pupil: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Reception class to Year 4 =£1,320 </w:t>
            </w:r>
          </w:p>
        </w:tc>
      </w:tr>
      <w:tr>
        <w:trPr>
          <w:trHeight w:val="480" w:hRule="atLeast"/>
        </w:trPr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1C">
            <w:pPr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Attendance 2019/20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1E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Due to Covid-19, we are unable to give an accurate percentage for attendance.  </w:t>
            </w:r>
          </w:p>
          <w:p w:rsidR="00000000" w:rsidDel="00000000" w:rsidP="00000000" w:rsidRDefault="00000000" w:rsidRPr="00000000" w14:paraId="0000001F">
            <w:pPr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There were no persistent absentees in the school last year.  </w:t>
            </w:r>
          </w:p>
        </w:tc>
      </w:tr>
    </w:tbl>
    <w:p w:rsidR="00000000" w:rsidDel="00000000" w:rsidP="00000000" w:rsidRDefault="00000000" w:rsidRPr="00000000" w14:paraId="00000023">
      <w:pPr>
        <w:spacing w:after="12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120" w:lineRule="auto"/>
        <w:rPr>
          <w:b w:val="1"/>
          <w:color w:val="000000"/>
        </w:rPr>
      </w:pPr>
      <w:r w:rsidDel="00000000" w:rsidR="00000000" w:rsidRPr="00000000">
        <w:rPr>
          <w:b w:val="1"/>
          <w:color w:val="000000"/>
          <w:rtl w:val="0"/>
        </w:rPr>
        <w:t xml:space="preserve">Pupil Attainment 2019/20 </w:t>
      </w:r>
    </w:p>
    <w:p w:rsidR="00000000" w:rsidDel="00000000" w:rsidP="00000000" w:rsidRDefault="00000000" w:rsidRPr="00000000" w14:paraId="00000025">
      <w:pPr>
        <w:spacing w:after="12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Due to Covid-19, end of Key Stage assessments did not take place during 2019/20 and children missed a significant amount of taught school.  Children did receive weekly home learning and fortnightly phone calls from a teacher to check in with learning and how families were coping during this time. 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14955.0" w:type="dxa"/>
        <w:jc w:val="left"/>
        <w:tblInd w:w="153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495"/>
        <w:gridCol w:w="5100"/>
        <w:gridCol w:w="2415"/>
        <w:gridCol w:w="3690"/>
        <w:gridCol w:w="255"/>
        <w:tblGridChange w:id="0">
          <w:tblGrid>
            <w:gridCol w:w="3495"/>
            <w:gridCol w:w="5100"/>
            <w:gridCol w:w="2415"/>
            <w:gridCol w:w="3690"/>
            <w:gridCol w:w="255"/>
          </w:tblGrid>
        </w:tblGridChange>
      </w:tblGrid>
      <w:tr>
        <w:trPr>
          <w:trHeight w:val="340" w:hRule="atLeast"/>
        </w:trPr>
        <w:tc>
          <w:tcPr>
            <w:gridSpan w:val="5"/>
            <w:shd w:fill="cfdce3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A">
            <w:pPr>
              <w:spacing w:after="0" w:line="240" w:lineRule="auto"/>
              <w:ind w:left="36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Review of expenditure for previous academic year 2019/2020    Total budget = £3920</w:t>
            </w:r>
          </w:p>
        </w:tc>
      </w:tr>
      <w:tr>
        <w:trPr>
          <w:trHeight w:val="340" w:hRule="atLeast"/>
        </w:trPr>
        <w:tc>
          <w:tcPr>
            <w:gridSpan w:val="5"/>
            <w:shd w:fill="c6d9f1" w:val="clear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2F">
            <w:pPr>
              <w:numPr>
                <w:ilvl w:val="0"/>
                <w:numId w:val="2"/>
              </w:numPr>
              <w:spacing w:after="0" w:line="240" w:lineRule="auto"/>
              <w:ind w:left="426" w:hanging="142"/>
              <w:rPr>
                <w:b w:val="1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Targeted support for pupil premium children.                                                 Total budgeted cost = £5280</w:t>
            </w:r>
          </w:p>
        </w:tc>
      </w:tr>
      <w:tr>
        <w:trPr>
          <w:trHeight w:val="90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Desired outcomes &amp; success criteria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Actions</w:t>
            </w:r>
          </w:p>
        </w:tc>
        <w:tc>
          <w:tcPr>
            <w:gridSpan w:val="2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Impact up until March 2020.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To ensure children have the relevant basic skills in maths to support their wider mathematical learning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A">
            <w:pPr>
              <w:numPr>
                <w:ilvl w:val="0"/>
                <w:numId w:val="1"/>
              </w:numPr>
              <w:spacing w:after="0" w:lineRule="auto"/>
              <w:ind w:left="720" w:hanging="36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This will be achieved through the introduction of basic skills maths lessons, CLIC Big Maths. 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Introduction of basic maths skills sessions and starters to lessons was showing an impact on children’s maths fluency and recall.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E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2. To embed the Thrive Approach across the school to support children’s social and emotional development.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3F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Assess every child using the Thrive assessment tool to identify individual children who would benefit from targeted support and class targets to inform PSHE lessons.  1 trained TA to deliver sessions one afternoon a week.  Head Teacher to deliver Thrive training for staff and governors. 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0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use of the Thrive approach across the school has seen an increase in children’s emotional wellbeing.  Some Pupil Premium children were targeted for 1:1 work in a specific area to increase self confidence, managing feelings and social skills. </w:t>
            </w:r>
          </w:p>
          <w:p w:rsidR="00000000" w:rsidDel="00000000" w:rsidP="00000000" w:rsidRDefault="00000000" w:rsidRPr="00000000" w14:paraId="00000041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Staff and Governors received introduction to Thrive Training.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4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3. To provide a breakfast club to ensure that all children start the day with breakfast.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5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Continue to offer the current breakfast club to all pupils and free for pupil premium children. 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Small uptake from breakfast club, mainly non pupil premium children. </w:t>
            </w:r>
          </w:p>
        </w:tc>
      </w:tr>
      <w:tr>
        <w:trPr>
          <w:trHeight w:val="1720" w:hRule="atLeast"/>
        </w:trPr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9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4. To create a timetable of enrichment activities to provide opportunities and experiences for children and to inspire work in class, including writing.</w:t>
            </w:r>
          </w:p>
        </w:tc>
        <w:tc>
          <w:tcPr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A">
            <w:pPr>
              <w:spacing w:after="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Create a timetable of enrichment activities to provide experiences and opportunities for children including after school clubs.  Make use of these experiences in writing and the wider curriculum to inspire learners. </w:t>
            </w:r>
          </w:p>
        </w:tc>
        <w:tc>
          <w:tcPr>
            <w:gridSpan w:val="3"/>
            <w:tcMar>
              <w:top w:w="57.0" w:type="dxa"/>
              <w:bottom w:w="57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A wide range of enrichment activities was offered including visits to museums, ice skating, local outdoor areas, violin after school club, sports coaching and a range of art and craft after school clubs.  Pupil Premium children benefited from these and some took up new hobbies as a result. </w:t>
            </w:r>
          </w:p>
        </w:tc>
      </w:tr>
    </w:tbl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pgSz w:h="11920" w:w="16840"/>
      <w:pgMar w:bottom="1162" w:top="1147" w:left="1038" w:right="958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d0d0d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lowerRoman"/>
      <w:lvlText w:val="%1."/>
      <w:lvlJc w:val="right"/>
      <w:pPr>
        <w:ind w:left="862" w:hanging="360"/>
      </w:pPr>
      <w:rPr/>
    </w:lvl>
    <w:lvl w:ilvl="1">
      <w:start w:val="1"/>
      <w:numFmt w:val="lowerLetter"/>
      <w:lvlText w:val="%2."/>
      <w:lvlJc w:val="left"/>
      <w:pPr>
        <w:ind w:left="1582" w:hanging="360"/>
      </w:pPr>
      <w:rPr/>
    </w:lvl>
    <w:lvl w:ilvl="2">
      <w:start w:val="1"/>
      <w:numFmt w:val="lowerRoman"/>
      <w:lvlText w:val="%3."/>
      <w:lvlJc w:val="right"/>
      <w:pPr>
        <w:ind w:left="2302" w:hanging="180"/>
      </w:pPr>
      <w:rPr/>
    </w:lvl>
    <w:lvl w:ilvl="3">
      <w:start w:val="1"/>
      <w:numFmt w:val="decimal"/>
      <w:lvlText w:val="%4."/>
      <w:lvlJc w:val="left"/>
      <w:pPr>
        <w:ind w:left="3022" w:hanging="360"/>
      </w:pPr>
      <w:rPr/>
    </w:lvl>
    <w:lvl w:ilvl="4">
      <w:start w:val="1"/>
      <w:numFmt w:val="lowerLetter"/>
      <w:lvlText w:val="%5."/>
      <w:lvlJc w:val="left"/>
      <w:pPr>
        <w:ind w:left="3742" w:hanging="360"/>
      </w:pPr>
      <w:rPr/>
    </w:lvl>
    <w:lvl w:ilvl="5">
      <w:start w:val="1"/>
      <w:numFmt w:val="lowerRoman"/>
      <w:lvlText w:val="%6."/>
      <w:lvlJc w:val="right"/>
      <w:pPr>
        <w:ind w:left="4462" w:hanging="180"/>
      </w:pPr>
      <w:rPr/>
    </w:lvl>
    <w:lvl w:ilvl="6">
      <w:start w:val="1"/>
      <w:numFmt w:val="decimal"/>
      <w:lvlText w:val="%7."/>
      <w:lvlJc w:val="left"/>
      <w:pPr>
        <w:ind w:left="5182" w:hanging="360"/>
      </w:pPr>
      <w:rPr/>
    </w:lvl>
    <w:lvl w:ilvl="7">
      <w:start w:val="1"/>
      <w:numFmt w:val="lowerLetter"/>
      <w:lvlText w:val="%8."/>
      <w:lvlJc w:val="left"/>
      <w:pPr>
        <w:ind w:left="5902" w:hanging="360"/>
      </w:pPr>
      <w:rPr/>
    </w:lvl>
    <w:lvl w:ilvl="8">
      <w:start w:val="1"/>
      <w:numFmt w:val="lowerRoman"/>
      <w:lvlText w:val="%9."/>
      <w:lvlJc w:val="right"/>
      <w:pPr>
        <w:ind w:left="6622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color w:val="0d0d0d"/>
        <w:sz w:val="24"/>
        <w:szCs w:val="24"/>
        <w:lang w:val="en-GB"/>
      </w:rPr>
    </w:rPrDefault>
    <w:pPrDefault>
      <w:pPr>
        <w:spacing w:after="240" w:line="288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line="240" w:lineRule="auto"/>
    </w:pPr>
    <w:rPr>
      <w:b w:val="1"/>
      <w:color w:val="104f75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line="240" w:lineRule="auto"/>
    </w:pPr>
    <w:rPr>
      <w:rFonts w:ascii="Arial" w:cs="Arial" w:eastAsia="Arial" w:hAnsi="Arial"/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